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26BB2" w14:textId="28DD607F" w:rsidR="008D76EA" w:rsidRPr="008D76EA" w:rsidRDefault="0012463F" w:rsidP="008D76EA">
      <w:pPr>
        <w:pStyle w:val="Heading1"/>
        <w:rPr>
          <w:lang w:val="fr-FR"/>
        </w:rPr>
      </w:pPr>
      <w:commentRangeStart w:id="0"/>
      <w:r>
        <w:rPr>
          <w:lang w:val="fr-FR"/>
        </w:rPr>
        <w:t>Bibliographie</w:t>
      </w:r>
      <w:commentRangeEnd w:id="0"/>
      <w:r>
        <w:rPr>
          <w:rStyle w:val="CommentReference"/>
          <w:rFonts w:asciiTheme="minorHAnsi" w:eastAsiaTheme="minorHAnsi" w:hAnsiTheme="minorHAnsi" w:cstheme="minorBidi"/>
          <w:color w:val="auto"/>
        </w:rPr>
        <w:commentReference w:id="0"/>
      </w:r>
    </w:p>
    <w:p w14:paraId="5D2EA209" w14:textId="06C87662" w:rsidR="00376411" w:rsidRPr="00376411" w:rsidRDefault="00376411" w:rsidP="00376411">
      <w:pPr>
        <w:pStyle w:val="ListParagraph"/>
        <w:numPr>
          <w:ilvl w:val="0"/>
          <w:numId w:val="16"/>
        </w:numPr>
        <w:spacing w:before="240" w:after="24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commentRangeStart w:id="1"/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Nkondjock A, Ghadirian P. Facteurs de risque du cancer du sein.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M</w:t>
      </w: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édecine/sciences. 2005 Feb 1;21(2):175-80.</w:t>
      </w:r>
      <w:commentRangeEnd w:id="1"/>
      <w:r w:rsidR="005D526E">
        <w:rPr>
          <w:rStyle w:val="CommentReference"/>
        </w:rPr>
        <w:commentReference w:id="1"/>
      </w:r>
    </w:p>
    <w:p w14:paraId="2B72F393" w14:textId="6A18D852" w:rsidR="00376411" w:rsidRPr="00376411" w:rsidRDefault="00376411" w:rsidP="00376411">
      <w:pPr>
        <w:pStyle w:val="ListParagraph"/>
        <w:numPr>
          <w:ilvl w:val="0"/>
          <w:numId w:val="16"/>
        </w:numPr>
        <w:spacing w:before="240" w:after="24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BEN AM, Zehani S, Maalej M, Hsairi M, Hechiche M, Ben Romdhane K, Boussen H, Saadi A, Achour N, Ben Ayed F. Cancer du sein en Tunisie</w:t>
      </w:r>
      <w:r w:rsidR="005D526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 </w:t>
      </w: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: caractéristiques épidémiologiques et tendance évolutive de l'incidence. Tunisie médicale. 2009;87(7):417-25.</w:t>
      </w:r>
    </w:p>
    <w:p w14:paraId="56A20E9B" w14:textId="5372358A" w:rsidR="00376411" w:rsidRPr="00376411" w:rsidRDefault="00376411" w:rsidP="00376411">
      <w:pPr>
        <w:pStyle w:val="ListParagraph"/>
        <w:numPr>
          <w:ilvl w:val="0"/>
          <w:numId w:val="16"/>
        </w:numPr>
        <w:spacing w:before="240" w:after="24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Cassier M, Gaudillière JP. Recherche, médecine et marché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 </w:t>
      </w: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: la génétique du cancer du sein.</w:t>
      </w:r>
    </w:p>
    <w:p w14:paraId="71F53B7C" w14:textId="77777777" w:rsidR="00376411" w:rsidRPr="00376411" w:rsidRDefault="00376411" w:rsidP="00376411">
      <w:pPr>
        <w:pStyle w:val="ListParagraph"/>
        <w:numPr>
          <w:ilvl w:val="0"/>
          <w:numId w:val="16"/>
        </w:numPr>
        <w:spacing w:before="240" w:after="24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AU" w:eastAsia="en-GB"/>
        </w:rPr>
        <w:t xml:space="preserve">Tubiana-Hulin M, Beuzeboc P, Mauriac L, Barbet N, Frenay M, Monnier A, Pion JM, Switsers O, Misset JL, Assadourian S, Bessa E. Double-blinded controlled study comparing clodronate versus placebo in patients with breast cancer bone metastases. </w:t>
      </w: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Bulletin du cancer. 2001 Aug 9;88(7):701-.</w:t>
      </w:r>
    </w:p>
    <w:p w14:paraId="27A2A480" w14:textId="402EFA3B" w:rsidR="00376411" w:rsidRPr="00376411" w:rsidRDefault="00376411" w:rsidP="00376411">
      <w:pPr>
        <w:pStyle w:val="ListParagraph"/>
        <w:numPr>
          <w:ilvl w:val="0"/>
          <w:numId w:val="16"/>
        </w:numPr>
        <w:spacing w:before="240" w:after="24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Ferrandez JC, Serin D, Bouges S. </w:t>
      </w: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Fréquence</w:t>
      </w: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 des </w:t>
      </w: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lymphœdèmes</w:t>
      </w: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 du membre </w:t>
      </w: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supérieur</w:t>
      </w: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 </w:t>
      </w: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après</w:t>
      </w: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 traitement du cancer du sein. Facteurs de risque. A propos de 683 observations. Bulletin du cancer. 1996;83(12):989-95.</w:t>
      </w:r>
    </w:p>
    <w:p w14:paraId="54D48A28" w14:textId="40600C62" w:rsidR="00376411" w:rsidRPr="00376411" w:rsidRDefault="00376411" w:rsidP="00376411">
      <w:pPr>
        <w:pStyle w:val="ListParagraph"/>
        <w:numPr>
          <w:ilvl w:val="0"/>
          <w:numId w:val="16"/>
        </w:numPr>
        <w:spacing w:before="240" w:after="24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Duport N, Ancelle-Park R, Boussac-Zarebska M, Uhry Z, Bloch J. Facteurs d’adhésion au dépistage organisé du cancer du sein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 </w:t>
      </w: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: étude FADO-sein. Saint-Maurice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 </w:t>
      </w: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: Institut de veille sanitaire. 2007 Jun.</w:t>
      </w:r>
    </w:p>
    <w:p w14:paraId="7B864A67" w14:textId="77777777" w:rsidR="00376411" w:rsidRPr="00376411" w:rsidRDefault="00376411" w:rsidP="00376411">
      <w:pPr>
        <w:pStyle w:val="ListParagraph"/>
        <w:numPr>
          <w:ilvl w:val="0"/>
          <w:numId w:val="16"/>
        </w:numPr>
        <w:spacing w:before="240" w:after="24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Ferrandez JC, Bourassin A, Debeauquesne A, Philbert C. Étude prospective ambulatoire multipraticien du lymphœdème du membre supérieur après cancer du sein—À propos de 76 cas. Oncologie. 2005 Jun 1;7(4):316-22.</w:t>
      </w:r>
    </w:p>
    <w:p w14:paraId="4CCB0C9B" w14:textId="77777777" w:rsidR="00376411" w:rsidRPr="00376411" w:rsidRDefault="00376411" w:rsidP="00376411">
      <w:pPr>
        <w:pStyle w:val="ListParagraph"/>
        <w:numPr>
          <w:ilvl w:val="0"/>
          <w:numId w:val="16"/>
        </w:numPr>
        <w:spacing w:before="240" w:after="24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Bertolotto F, Joubert M, Leroux M, Ruspoli S, Ancelle-Park R, Jestin C, Albi N, Sancho-Garnier H. Facteurs sociaux de l’absence de participation aux campagnes de dépistage organisé du cancer du sein. Bull épidémiol hebd. 2003 Jan 21;4:24-5.</w:t>
      </w:r>
    </w:p>
    <w:p w14:paraId="066C9949" w14:textId="1E5CC21C" w:rsidR="00376411" w:rsidRPr="00376411" w:rsidRDefault="00376411" w:rsidP="00376411">
      <w:pPr>
        <w:pStyle w:val="ListParagraph"/>
        <w:numPr>
          <w:ilvl w:val="0"/>
          <w:numId w:val="16"/>
        </w:numPr>
        <w:spacing w:before="240" w:after="24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Delay E, Gosset J, Toussoun G, Delaporte T, Delbaere M. Efficacité du lipomod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é</w:t>
      </w: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lage pour la correction des séquelles du traitement conservateur du cancer du sein.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Dans </w:t>
      </w: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Annales de chirurgie plastique </w:t>
      </w: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esthétique</w:t>
      </w: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 2008 Apr 1 (Vol. 53, No. 2, pp. 153-168). Elsevier Masson.</w:t>
      </w:r>
    </w:p>
    <w:p w14:paraId="5AF79D50" w14:textId="77777777" w:rsidR="00376411" w:rsidRPr="00376411" w:rsidRDefault="00376411" w:rsidP="00376411">
      <w:pPr>
        <w:pStyle w:val="ListParagraph"/>
        <w:numPr>
          <w:ilvl w:val="0"/>
          <w:numId w:val="16"/>
        </w:numPr>
        <w:spacing w:before="240" w:after="24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Arrault M, Vignes S. Facteurs de risque de développement d’un lymphœdème du membre supérieur après traitement du cancer du sein. Bulletin du cancer. 2006 Oct 1;93(10):1001-6.</w:t>
      </w:r>
    </w:p>
    <w:p w14:paraId="402C400E" w14:textId="2060E4BF" w:rsidR="00376411" w:rsidRPr="00376411" w:rsidRDefault="00376411" w:rsidP="00376411">
      <w:pPr>
        <w:pStyle w:val="ListParagraph"/>
        <w:numPr>
          <w:ilvl w:val="0"/>
          <w:numId w:val="16"/>
        </w:numPr>
        <w:spacing w:before="240" w:after="24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lastRenderedPageBreak/>
        <w:t>Clough KB, Baruch J. La chirurgie plastique et le traitement conservateur du cancer du sein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 </w:t>
      </w: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: Indications et </w:t>
      </w: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résultats</w:t>
      </w: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.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Dans </w:t>
      </w: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Annales de chirurgie plastique et esthétique 1992 (Vol. 37, No. 6, pp. 682-692). Elsevier Masson.</w:t>
      </w:r>
    </w:p>
    <w:p w14:paraId="53118051" w14:textId="77777777" w:rsidR="00376411" w:rsidRPr="00376411" w:rsidRDefault="00376411" w:rsidP="00376411">
      <w:pPr>
        <w:pStyle w:val="ListParagraph"/>
        <w:numPr>
          <w:ilvl w:val="0"/>
          <w:numId w:val="16"/>
        </w:numPr>
        <w:spacing w:before="240" w:after="24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AU" w:eastAsia="en-GB"/>
        </w:rPr>
        <w:t xml:space="preserve">Basuyau JP, Blanc-Vincent MP, Bidart JM, Daver A, Deneux L, Eche N, Gory-Delabaere G, Pichon MF, Riedinger JM. </w:t>
      </w: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Standards, Options et Recommandations (SOR): marqueurs tumoraux sériques du cancer du sein. Bulletin du cancer. 2000 Nov 20;87(10):723-37.</w:t>
      </w:r>
    </w:p>
    <w:p w14:paraId="19B933AF" w14:textId="562FC104" w:rsidR="00376411" w:rsidRPr="00376411" w:rsidRDefault="00376411" w:rsidP="00376411">
      <w:pPr>
        <w:pStyle w:val="ListParagraph"/>
        <w:numPr>
          <w:ilvl w:val="0"/>
          <w:numId w:val="16"/>
        </w:numPr>
        <w:spacing w:before="240" w:after="24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Romain S, Muracciole X, Varette I, Bressac C, Brandone H, Martin PM. La cathepsine-D</w:t>
      </w:r>
      <w:r w:rsidR="005D526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 </w:t>
      </w:r>
      <w:bookmarkStart w:id="2" w:name="_GoBack"/>
      <w:bookmarkEnd w:id="2"/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: un facteur pronostique indépendant dans le cancer du sein. Bulletin du cancer. 1990;77(5):439-47.</w:t>
      </w:r>
    </w:p>
    <w:p w14:paraId="7579A079" w14:textId="77777777" w:rsidR="00376411" w:rsidRPr="00376411" w:rsidRDefault="00376411" w:rsidP="00376411">
      <w:pPr>
        <w:pStyle w:val="ListParagraph"/>
        <w:numPr>
          <w:ilvl w:val="0"/>
          <w:numId w:val="16"/>
        </w:numPr>
        <w:spacing w:before="240" w:after="24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Bakkali H, Marchal C, Lesur-Schwander A, Verhaeghe JL. Le cancer du sein chez la femme de 30 ans et moins. Cancer/Radiothérapie. 2003 Jun 1;7(3):153-9.</w:t>
      </w:r>
    </w:p>
    <w:p w14:paraId="2E80A459" w14:textId="40342C42" w:rsidR="00376411" w:rsidRPr="00376411" w:rsidRDefault="00376411" w:rsidP="00376411">
      <w:pPr>
        <w:pStyle w:val="ListParagraph"/>
        <w:numPr>
          <w:ilvl w:val="0"/>
          <w:numId w:val="16"/>
        </w:numPr>
        <w:spacing w:before="240" w:after="24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AU" w:eastAsia="en-GB"/>
        </w:rPr>
      </w:pP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Dieras V, Vincent-Salomon A, Degeorges A, Beuzeboc P, Mignot L, De Cremoux P. Trastuzumab (Herceptin®) et cancer du sein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 </w:t>
      </w: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: mécanismes de résistance. </w:t>
      </w: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AU" w:eastAsia="en-GB"/>
        </w:rPr>
        <w:t>Bulletin du cancer. 2007 Mar 1;94(3):259-66.</w:t>
      </w:r>
    </w:p>
    <w:p w14:paraId="33D26023" w14:textId="77777777" w:rsidR="00376411" w:rsidRPr="00376411" w:rsidRDefault="00376411" w:rsidP="00376411">
      <w:pPr>
        <w:pStyle w:val="ListParagraph"/>
        <w:numPr>
          <w:ilvl w:val="0"/>
          <w:numId w:val="16"/>
        </w:numPr>
        <w:spacing w:before="240" w:after="24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AU" w:eastAsia="en-GB"/>
        </w:rPr>
        <w:t xml:space="preserve">MacMahon B, Cole P, Lin TM, Lowe CR, Mirra AP, Ravnihar B, Salber EJ, Valaoras VG, Yuasa S. Age at first birth and breast cancer risk. </w:t>
      </w: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Bulletin of the World Health Organization. 1970;43(2):209.</w:t>
      </w:r>
    </w:p>
    <w:p w14:paraId="1D8C7F5B" w14:textId="261E3313" w:rsidR="00376411" w:rsidRPr="00376411" w:rsidRDefault="00376411" w:rsidP="00376411">
      <w:pPr>
        <w:pStyle w:val="ListParagraph"/>
        <w:numPr>
          <w:ilvl w:val="0"/>
          <w:numId w:val="16"/>
        </w:numPr>
        <w:spacing w:before="240" w:after="24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Garusi C, Petit JY, Rietjens M, Lanfrey E. La place de la chirurgie plastique dans le traitement conservateur du cancer du sein.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Dans </w:t>
      </w:r>
      <w:r w:rsidRPr="0037641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Annales de chirurgie plastique et esthétique 1997 (Vol. 42, No. 2, pp. 168-176). Elsevier Masson.</w:t>
      </w:r>
    </w:p>
    <w:p w14:paraId="44130616" w14:textId="560DB498" w:rsidR="008D76EA" w:rsidRPr="001C0B53" w:rsidRDefault="008D76EA" w:rsidP="00376411">
      <w:pPr>
        <w:spacing w:before="240" w:after="24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sectPr w:rsidR="008D76EA" w:rsidRPr="001C0B53" w:rsidSect="00622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crosoft Office User" w:date="2019-07-19T11:45:00Z" w:initials="MOU">
    <w:p w14:paraId="33CB2CC4" w14:textId="11AB0CD8" w:rsidR="0012463F" w:rsidRPr="0012463F" w:rsidRDefault="0012463F">
      <w:pPr>
        <w:pStyle w:val="CommentText"/>
        <w:rPr>
          <w:lang w:val="fr-FR"/>
        </w:rPr>
      </w:pPr>
      <w:r>
        <w:rPr>
          <w:rStyle w:val="CommentReference"/>
        </w:rPr>
        <w:annotationRef/>
      </w:r>
      <w:r w:rsidRPr="0012463F">
        <w:rPr>
          <w:lang w:val="fr-FR"/>
        </w:rPr>
        <w:t xml:space="preserve">Il faut ajouter le titre </w:t>
      </w:r>
      <w:r>
        <w:rPr>
          <w:lang w:val="fr-FR"/>
        </w:rPr>
        <w:t>« </w:t>
      </w:r>
      <w:r w:rsidRPr="0012463F">
        <w:rPr>
          <w:lang w:val="fr-FR"/>
        </w:rPr>
        <w:t>Biblio</w:t>
      </w:r>
      <w:r>
        <w:rPr>
          <w:lang w:val="fr-FR"/>
        </w:rPr>
        <w:t>graphie » ou « Liste de références ». Ce titre devra apparaître dans votre sommaire/table des matières.</w:t>
      </w:r>
    </w:p>
  </w:comment>
  <w:comment w:id="1" w:author="Microsoft Office User" w:date="2019-07-19T13:11:00Z" w:initials="MOU">
    <w:p w14:paraId="0DAA0EB3" w14:textId="0FE1F24B" w:rsidR="005D526E" w:rsidRPr="005D526E" w:rsidRDefault="005D526E">
      <w:pPr>
        <w:pStyle w:val="CommentText"/>
        <w:rPr>
          <w:lang w:val="fr-FR"/>
        </w:rPr>
      </w:pPr>
      <w:r>
        <w:rPr>
          <w:rStyle w:val="CommentReference"/>
        </w:rPr>
        <w:annotationRef/>
      </w:r>
      <w:r w:rsidRPr="005D526E">
        <w:rPr>
          <w:lang w:val="fr-FR"/>
        </w:rPr>
        <w:t xml:space="preserve">Les sources </w:t>
      </w:r>
      <w:r>
        <w:rPr>
          <w:lang w:val="fr-FR"/>
        </w:rPr>
        <w:t xml:space="preserve">sont </w:t>
      </w:r>
      <w:r w:rsidRPr="005D526E">
        <w:rPr>
          <w:lang w:val="fr-FR"/>
        </w:rPr>
        <w:t xml:space="preserve">numérotées </w:t>
      </w:r>
      <w:r>
        <w:rPr>
          <w:lang w:val="fr-FR"/>
        </w:rPr>
        <w:t>et apparaissent par ordre d’apparition dans le texte (pas par ordre alphabétique).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CB2CC4" w15:done="0"/>
  <w15:commentEx w15:paraId="0DAA0EB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CB2CC4" w16cid:durableId="20DC2BBD"/>
  <w16cid:commentId w16cid:paraId="0DAA0EB3" w16cid:durableId="20DC40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33C1F" w14:textId="77777777" w:rsidR="00323D1B" w:rsidRDefault="00323D1B" w:rsidP="00256585">
      <w:pPr>
        <w:spacing w:after="0" w:line="240" w:lineRule="auto"/>
      </w:pPr>
      <w:r>
        <w:separator/>
      </w:r>
    </w:p>
  </w:endnote>
  <w:endnote w:type="continuationSeparator" w:id="0">
    <w:p w14:paraId="28C56D88" w14:textId="77777777" w:rsidR="00323D1B" w:rsidRDefault="00323D1B" w:rsidP="0025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1EA06" w14:textId="77777777" w:rsidR="00323D1B" w:rsidRDefault="00323D1B" w:rsidP="00256585">
      <w:pPr>
        <w:spacing w:after="0" w:line="240" w:lineRule="auto"/>
      </w:pPr>
      <w:r>
        <w:separator/>
      </w:r>
    </w:p>
  </w:footnote>
  <w:footnote w:type="continuationSeparator" w:id="0">
    <w:p w14:paraId="7DEA9FD9" w14:textId="77777777" w:rsidR="00323D1B" w:rsidRDefault="00323D1B" w:rsidP="00256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CDB"/>
    <w:multiLevelType w:val="multilevel"/>
    <w:tmpl w:val="ED34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21371"/>
    <w:multiLevelType w:val="multilevel"/>
    <w:tmpl w:val="1DFA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D67DF"/>
    <w:multiLevelType w:val="hybridMultilevel"/>
    <w:tmpl w:val="2E12A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81EA9"/>
    <w:multiLevelType w:val="multilevel"/>
    <w:tmpl w:val="C026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468F9"/>
    <w:multiLevelType w:val="hybridMultilevel"/>
    <w:tmpl w:val="C504AA3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67EBA"/>
    <w:multiLevelType w:val="multilevel"/>
    <w:tmpl w:val="E452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94D"/>
    <w:multiLevelType w:val="multilevel"/>
    <w:tmpl w:val="EF9A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690405"/>
    <w:multiLevelType w:val="hybridMultilevel"/>
    <w:tmpl w:val="D0CA5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D28BC"/>
    <w:multiLevelType w:val="hybridMultilevel"/>
    <w:tmpl w:val="FE546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045F3"/>
    <w:multiLevelType w:val="multilevel"/>
    <w:tmpl w:val="9D7A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EC53A8"/>
    <w:multiLevelType w:val="hybridMultilevel"/>
    <w:tmpl w:val="21E22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F1868"/>
    <w:multiLevelType w:val="multilevel"/>
    <w:tmpl w:val="07BE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C838B0"/>
    <w:multiLevelType w:val="hybridMultilevel"/>
    <w:tmpl w:val="FD6E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96BC3"/>
    <w:multiLevelType w:val="multilevel"/>
    <w:tmpl w:val="D32A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8557BD"/>
    <w:multiLevelType w:val="multilevel"/>
    <w:tmpl w:val="7B08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CD7795"/>
    <w:multiLevelType w:val="multilevel"/>
    <w:tmpl w:val="CA02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5"/>
  </w:num>
  <w:num w:numId="5">
    <w:abstractNumId w:val="11"/>
  </w:num>
  <w:num w:numId="6">
    <w:abstractNumId w:val="0"/>
  </w:num>
  <w:num w:numId="7">
    <w:abstractNumId w:val="9"/>
  </w:num>
  <w:num w:numId="8">
    <w:abstractNumId w:val="14"/>
  </w:num>
  <w:num w:numId="9">
    <w:abstractNumId w:val="13"/>
  </w:num>
  <w:num w:numId="10">
    <w:abstractNumId w:val="5"/>
  </w:num>
  <w:num w:numId="11">
    <w:abstractNumId w:val="7"/>
  </w:num>
  <w:num w:numId="12">
    <w:abstractNumId w:val="2"/>
  </w:num>
  <w:num w:numId="13">
    <w:abstractNumId w:val="12"/>
  </w:num>
  <w:num w:numId="14">
    <w:abstractNumId w:val="10"/>
  </w:num>
  <w:num w:numId="15">
    <w:abstractNumId w:val="4"/>
  </w:num>
  <w:num w:numId="1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85"/>
    <w:rsid w:val="0012463F"/>
    <w:rsid w:val="001C0B53"/>
    <w:rsid w:val="00256585"/>
    <w:rsid w:val="002614B5"/>
    <w:rsid w:val="0028167C"/>
    <w:rsid w:val="003232DC"/>
    <w:rsid w:val="00323D1B"/>
    <w:rsid w:val="00376411"/>
    <w:rsid w:val="003C646F"/>
    <w:rsid w:val="005D526E"/>
    <w:rsid w:val="00622999"/>
    <w:rsid w:val="0076656F"/>
    <w:rsid w:val="00853DBA"/>
    <w:rsid w:val="008D76EA"/>
    <w:rsid w:val="00B56059"/>
    <w:rsid w:val="00DB2B94"/>
    <w:rsid w:val="00EB6836"/>
    <w:rsid w:val="00F4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69951"/>
  <w15:chartTrackingRefBased/>
  <w15:docId w15:val="{A367CEEB-9A11-4A6E-95CE-0104BCFC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65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585"/>
  </w:style>
  <w:style w:type="paragraph" w:styleId="Footer">
    <w:name w:val="footer"/>
    <w:basedOn w:val="Normal"/>
    <w:link w:val="FooterChar"/>
    <w:uiPriority w:val="99"/>
    <w:unhideWhenUsed/>
    <w:rsid w:val="00256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585"/>
  </w:style>
  <w:style w:type="character" w:customStyle="1" w:styleId="Heading1Char">
    <w:name w:val="Heading 1 Char"/>
    <w:basedOn w:val="DefaultParagraphFont"/>
    <w:link w:val="Heading1"/>
    <w:uiPriority w:val="9"/>
    <w:rsid w:val="002565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256585"/>
    <w:rPr>
      <w:i/>
      <w:iCs/>
    </w:rPr>
  </w:style>
  <w:style w:type="character" w:customStyle="1" w:styleId="exposant">
    <w:name w:val="exposant"/>
    <w:basedOn w:val="DefaultParagraphFont"/>
    <w:rsid w:val="00256585"/>
  </w:style>
  <w:style w:type="paragraph" w:styleId="ListParagraph">
    <w:name w:val="List Paragraph"/>
    <w:basedOn w:val="Normal"/>
    <w:uiPriority w:val="34"/>
    <w:qFormat/>
    <w:rsid w:val="002565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4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6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6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6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63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3F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DB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Scribbr Office</dc:creator>
  <cp:keywords/>
  <dc:description/>
  <cp:lastModifiedBy>Microsoft Office User</cp:lastModifiedBy>
  <cp:revision>10</cp:revision>
  <dcterms:created xsi:type="dcterms:W3CDTF">2018-08-16T12:22:00Z</dcterms:created>
  <dcterms:modified xsi:type="dcterms:W3CDTF">2019-07-19T11:12:00Z</dcterms:modified>
</cp:coreProperties>
</file>